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CF" w:rsidRDefault="00DA6DCF" w:rsidP="00DA6DCF">
      <w:pPr>
        <w:spacing w:after="72" w:line="240" w:lineRule="auto"/>
        <w:ind w:left="3888" w:firstLine="1296"/>
        <w:rPr>
          <w:rFonts w:ascii="Times-Roman" w:eastAsia="Times-Roman" w:hAnsi="Times-Roman" w:cs="Times-Roman"/>
          <w:sz w:val="24"/>
        </w:rPr>
      </w:pPr>
      <w:r>
        <w:rPr>
          <w:rFonts w:ascii="Times-Roman" w:eastAsia="Times-Roman" w:hAnsi="Times-Roman" w:cs="Times-Roman"/>
          <w:sz w:val="24"/>
        </w:rPr>
        <w:t xml:space="preserve">                   PATVIRTINTA</w:t>
      </w:r>
    </w:p>
    <w:p w:rsidR="00DA6DCF" w:rsidRDefault="00DA6DCF" w:rsidP="00DA6DCF">
      <w:pPr>
        <w:spacing w:after="72" w:line="240" w:lineRule="auto"/>
        <w:ind w:left="3888" w:firstLine="1296"/>
        <w:rPr>
          <w:rFonts w:ascii="Times-Roman" w:eastAsia="Times-Roman" w:hAnsi="Times-Roman" w:cs="Times-Roman"/>
          <w:sz w:val="24"/>
        </w:rPr>
      </w:pPr>
      <w:r>
        <w:rPr>
          <w:rFonts w:ascii="Times-Roman" w:eastAsia="Times-Roman" w:hAnsi="Times-Roman" w:cs="Times-Roman"/>
          <w:sz w:val="24"/>
        </w:rPr>
        <w:t xml:space="preserve">                   Gargžd</w:t>
      </w:r>
      <w:r>
        <w:rPr>
          <w:rFonts w:ascii="TTE1B4BAB0t00" w:eastAsia="TTE1B4BAB0t00" w:hAnsi="TTE1B4BAB0t00" w:cs="TTE1B4BAB0t00"/>
          <w:sz w:val="24"/>
        </w:rPr>
        <w:t xml:space="preserve">u </w:t>
      </w:r>
      <w:r>
        <w:rPr>
          <w:rFonts w:ascii="Times-Roman" w:eastAsia="Times-Roman" w:hAnsi="Times-Roman" w:cs="Times-Roman"/>
          <w:sz w:val="24"/>
        </w:rPr>
        <w:t>„Minijos“ progimnazijos</w:t>
      </w:r>
    </w:p>
    <w:p w:rsidR="00DA6DCF" w:rsidRDefault="00DA6DCF" w:rsidP="00DA6DCF">
      <w:pPr>
        <w:spacing w:after="72" w:line="240" w:lineRule="auto"/>
        <w:ind w:left="3888" w:firstLine="1296"/>
        <w:rPr>
          <w:rFonts w:ascii="Times-Roman" w:eastAsia="Times-Roman" w:hAnsi="Times-Roman" w:cs="Times-Roman"/>
          <w:sz w:val="24"/>
        </w:rPr>
      </w:pPr>
      <w:r>
        <w:rPr>
          <w:rFonts w:ascii="Times-Roman" w:eastAsia="Times-Roman" w:hAnsi="Times-Roman" w:cs="Times-Roman"/>
          <w:sz w:val="24"/>
        </w:rPr>
        <w:t xml:space="preserve">                   direktoriaus 2016 m. kovo 2 d.                </w:t>
      </w:r>
    </w:p>
    <w:p w:rsidR="00DA6DCF" w:rsidRDefault="00DA6DCF" w:rsidP="00DA6DCF">
      <w:pPr>
        <w:spacing w:after="72" w:line="240" w:lineRule="auto"/>
        <w:ind w:left="3888" w:firstLine="1296"/>
        <w:rPr>
          <w:rFonts w:ascii="Times-Roman" w:eastAsia="Times-Roman" w:hAnsi="Times-Roman" w:cs="Times-Roman"/>
          <w:sz w:val="24"/>
        </w:rPr>
      </w:pPr>
      <w:r>
        <w:rPr>
          <w:rFonts w:ascii="TTE1B4BAB0t00" w:eastAsia="TTE1B4BAB0t00" w:hAnsi="TTE1B4BAB0t00" w:cs="TTE1B4BAB0t00"/>
          <w:sz w:val="24"/>
        </w:rPr>
        <w:t xml:space="preserve">                    </w:t>
      </w:r>
      <w:r>
        <w:rPr>
          <w:rFonts w:ascii="Calibri" w:eastAsia="Calibri" w:hAnsi="Calibri" w:cs="Calibri"/>
          <w:sz w:val="24"/>
        </w:rPr>
        <w:t>į</w:t>
      </w:r>
      <w:r>
        <w:rPr>
          <w:rFonts w:ascii="Times-Roman" w:eastAsia="Times-Roman" w:hAnsi="Times-Roman" w:cs="Times-Roman"/>
          <w:sz w:val="24"/>
        </w:rPr>
        <w:t>sakymu Nr. 1-12</w:t>
      </w:r>
    </w:p>
    <w:p w:rsidR="00DA6DCF" w:rsidRDefault="00DA6DCF" w:rsidP="00DA6DCF">
      <w:pPr>
        <w:spacing w:after="72" w:line="240" w:lineRule="auto"/>
        <w:ind w:left="3888" w:firstLine="1296"/>
        <w:rPr>
          <w:rFonts w:ascii="Times-Roman" w:eastAsia="Times-Roman" w:hAnsi="Times-Roman" w:cs="Times-Roman"/>
          <w:sz w:val="24"/>
        </w:rPr>
      </w:pPr>
    </w:p>
    <w:p w:rsidR="00DA6DCF" w:rsidRDefault="00DA6DCF" w:rsidP="00DA6DCF">
      <w:pPr>
        <w:spacing w:after="72" w:line="240" w:lineRule="auto"/>
        <w:ind w:left="3888" w:firstLine="1296"/>
        <w:jc w:val="center"/>
        <w:rPr>
          <w:rFonts w:ascii="Times-Roman" w:eastAsia="Times-Roman" w:hAnsi="Times-Roman" w:cs="Times-Roman"/>
          <w:sz w:val="24"/>
        </w:rPr>
      </w:pPr>
    </w:p>
    <w:p w:rsidR="00DA6DCF" w:rsidRDefault="00DA6DCF" w:rsidP="00DA6DCF">
      <w:pPr>
        <w:spacing w:after="72" w:line="240" w:lineRule="auto"/>
        <w:jc w:val="center"/>
        <w:rPr>
          <w:rFonts w:ascii="Times-Bold" w:eastAsia="Times-Bold" w:hAnsi="Times-Bold" w:cs="Times-Bold"/>
          <w:b/>
          <w:sz w:val="24"/>
        </w:rPr>
      </w:pPr>
      <w:r>
        <w:rPr>
          <w:rFonts w:ascii="Times-Bold" w:eastAsia="Times-Bold" w:hAnsi="Times-Bold" w:cs="Times-Bold"/>
          <w:b/>
          <w:sz w:val="24"/>
        </w:rPr>
        <w:t>GARGŽD</w:t>
      </w:r>
      <w:r>
        <w:rPr>
          <w:rFonts w:ascii="Calibri" w:eastAsia="Calibri" w:hAnsi="Calibri" w:cs="Calibri"/>
          <w:b/>
          <w:sz w:val="24"/>
        </w:rPr>
        <w:t>Ų</w:t>
      </w:r>
      <w:r>
        <w:rPr>
          <w:rFonts w:ascii="TTE1B4B640t00" w:eastAsia="TTE1B4B640t00" w:hAnsi="TTE1B4B640t00" w:cs="TTE1B4B640t00"/>
          <w:sz w:val="24"/>
        </w:rPr>
        <w:t xml:space="preserve"> </w:t>
      </w:r>
      <w:r>
        <w:rPr>
          <w:rFonts w:ascii="Times-Bold" w:eastAsia="Times-Bold" w:hAnsi="Times-Bold" w:cs="Times-Bold"/>
          <w:b/>
          <w:sz w:val="24"/>
        </w:rPr>
        <w:t>„MINIJOS“ PROGIMNAZIJOS MOKYTOJ</w:t>
      </w:r>
      <w:r>
        <w:rPr>
          <w:rFonts w:ascii="Calibri" w:eastAsia="Calibri" w:hAnsi="Calibri" w:cs="Calibri"/>
          <w:b/>
          <w:sz w:val="24"/>
        </w:rPr>
        <w:t>Ų</w:t>
      </w:r>
      <w:r>
        <w:rPr>
          <w:rFonts w:ascii="Times-Bold" w:eastAsia="Times-Bold" w:hAnsi="Times-Bold" w:cs="Times-Bold"/>
          <w:b/>
          <w:sz w:val="24"/>
        </w:rPr>
        <w:t xml:space="preserve"> PAVADAVIMO </w:t>
      </w:r>
    </w:p>
    <w:p w:rsidR="00DA6DCF" w:rsidRDefault="00DA6DCF" w:rsidP="00DA6DCF">
      <w:pPr>
        <w:spacing w:after="72" w:line="240" w:lineRule="auto"/>
        <w:jc w:val="center"/>
        <w:rPr>
          <w:rFonts w:ascii="Times-Bold" w:eastAsia="Times-Bold" w:hAnsi="Times-Bold" w:cs="Times-Bold"/>
          <w:b/>
          <w:sz w:val="24"/>
        </w:rPr>
      </w:pPr>
      <w:r>
        <w:rPr>
          <w:rFonts w:ascii="Times-Bold" w:eastAsia="Times-Bold" w:hAnsi="Times-Bold" w:cs="Times-Bold"/>
          <w:b/>
          <w:sz w:val="24"/>
        </w:rPr>
        <w:t>TVARKOS APRAŠAS</w:t>
      </w:r>
    </w:p>
    <w:p w:rsidR="00DA6DCF" w:rsidRDefault="00DA6DCF" w:rsidP="00DA6DCF">
      <w:pPr>
        <w:spacing w:after="72" w:line="240" w:lineRule="auto"/>
        <w:jc w:val="center"/>
        <w:rPr>
          <w:rFonts w:ascii="Times-Bold" w:eastAsia="Times-Bold" w:hAnsi="Times-Bold" w:cs="Times-Bold"/>
          <w:b/>
          <w:sz w:val="24"/>
        </w:rPr>
      </w:pPr>
    </w:p>
    <w:p w:rsidR="00DA6DCF" w:rsidRDefault="00DA6DCF" w:rsidP="00DA6DCF">
      <w:pPr>
        <w:spacing w:before="100" w:after="72"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BENDROSIOS NUOSTATOS</w:t>
      </w:r>
    </w:p>
    <w:p w:rsidR="00DA6DCF" w:rsidRDefault="00DA6DCF" w:rsidP="00DA6DCF">
      <w:pPr>
        <w:spacing w:after="72"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Mokytojų pavadavimo tvarka (toliau Tvarka) parengta vadovaujantis Lietuvos Respublikos švietimo ir mokslo ministro 2005 m. gruodžio 29 s. įsakymu Nr. ISAK–2668 „Dėl išimties atvejų, kada leidžiama dirbti daugiau negu 36 valandas per savaitę, Darbo kodekso 114 straipsnio 1 punktu, patvirtintu Lietuvos Respublikos Seimo 2002 m. birželio 4 d. įstatymu Nr. IX–926.</w:t>
      </w:r>
    </w:p>
    <w:p w:rsidR="00DA6DCF" w:rsidRDefault="00DA6DCF" w:rsidP="00DA6DCF">
      <w:pPr>
        <w:spacing w:after="72" w:line="276"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2. MOKYTOJŲ PAVADAVIMAS</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2.1. Mokytojas, išvykdamas į seminarą, kursus ar kitokius renginius, ar turėdamas asmeninių priežasčių neatvykti į darbą, prieš 3 dienas (bet ne vėliau kaip prieš dieną) direktoriaus vardu rašo prašymą dėl neatvykimo į darbą, nurodo tikslius terminus, pateikia reikalingus dokumentus. Neatvykimas į darbą įforminamas direktoriaus įsakymu.</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2.2. Susirgęs mokytojas informuoja progimnazijos direktorių arba direktoriaus pavaduotoją tą pačią dieną. Mokytojo ligos, mokymosi, kasmetinių, nėštumo ir gimdymo atostogų atveju, pagal galimybes organizuojamas pamokų pavadavimas.</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2.3. Progimnazijos vadovams paprašius, neturintis reikiamu metu savo pamokų (išimtinais atvejais jungiantis prie kitos klasės), mokytojas pavaduoja nesančio darbe kolegos pamokas. </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2.4. Tiek skiriant pavaduojantį mokytoją, tiek priimant terminuotai pavadavimui – skiriamas ar priimamas pavaduoti mokytojas – to dalyko specialistas.</w:t>
      </w:r>
    </w:p>
    <w:p w:rsidR="00DA6DCF" w:rsidRDefault="00DA6DCF" w:rsidP="00DA6DCF">
      <w:pPr>
        <w:tabs>
          <w:tab w:val="left" w:pos="851"/>
        </w:tabs>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2.5. Išimtinais atvejais, kai trūksta specialistų vaduojamam ugdymo dalykui, trumpam laikotarpiui (iki 5 dienų) gali būti nevaduojamos pirmos ir paskutinės pamokos.                        </w:t>
      </w:r>
      <w:r>
        <w:rPr>
          <w:rFonts w:ascii="Times New Roman" w:eastAsia="Times New Roman" w:hAnsi="Times New Roman" w:cs="Times New Roman"/>
          <w:sz w:val="24"/>
        </w:rPr>
        <w:tab/>
        <w:t>2.6. Pavaduojantis mokytojas rašo direktoriui prašymą pavaduoti, kuris įforminamas direktoriaus įsakymu.</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2.7. Pavaduojantis mokytojas susipažįsta su dalyko mokytojo teminiu planu, vykdo ugdymo programą, susipažįsta su įrašais </w:t>
      </w:r>
      <w:proofErr w:type="spellStart"/>
      <w:r>
        <w:rPr>
          <w:rFonts w:ascii="Times New Roman" w:eastAsia="Times New Roman" w:hAnsi="Times New Roman" w:cs="Times New Roman"/>
          <w:sz w:val="24"/>
        </w:rPr>
        <w:t>e.dienyne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Tamo</w:t>
      </w:r>
      <w:proofErr w:type="spellEnd"/>
      <w:r>
        <w:rPr>
          <w:rFonts w:ascii="Times New Roman" w:eastAsia="Times New Roman" w:hAnsi="Times New Roman" w:cs="Times New Roman"/>
          <w:sz w:val="24"/>
        </w:rPr>
        <w:t xml:space="preserve">“ ir jį toliau pildo. Jei mokytojas pavaduoja visą pamokų krūvį, jis privalo budėti tomis dienomis, kuriomis budėjo vaduojamasis. </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2.8. Pavaduojantys mokytojai, o taip pat mokytojai antraeilininkai privalo dalyvauti mokytojų tarybos posėdžiuose, susirinkimuose, laikytis vidaus darbo tvarkos taisyklių.</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2.9. Baigę pavadavimą arba paskutinę mėnesio dieną, apie pavaduotų pamokų skaičių ir datas informuoja direktoriaus pavaduotoją ugdymui, atsakingą už darbo apskaitos žiniaraščių pildymą.</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2.10. Sugrįžęs į darbą, mokytojas koreguoja savo teminius planus ir apie tai informuoja kuruojantį vadovą.</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2.11</w:t>
      </w:r>
      <w:bookmarkStart w:id="0" w:name="_GoBack"/>
      <w:bookmarkEnd w:id="0"/>
      <w:r>
        <w:rPr>
          <w:rFonts w:ascii="Times New Roman" w:eastAsia="Times New Roman" w:hAnsi="Times New Roman" w:cs="Times New Roman"/>
          <w:sz w:val="24"/>
        </w:rPr>
        <w:t xml:space="preserve">. Savavališkai mokytojas keistis pamokomis, vaduoti, išleisti vienas kitą iš darbo griežtai draudžiama. Mokytojų pavadavimo tvarka taikoma ir Jakų bei </w:t>
      </w:r>
      <w:proofErr w:type="spellStart"/>
      <w:r>
        <w:rPr>
          <w:rFonts w:ascii="Times New Roman" w:eastAsia="Times New Roman" w:hAnsi="Times New Roman" w:cs="Times New Roman"/>
          <w:sz w:val="24"/>
        </w:rPr>
        <w:t>Gobergiškės</w:t>
      </w:r>
      <w:proofErr w:type="spellEnd"/>
      <w:r>
        <w:rPr>
          <w:rFonts w:ascii="Times New Roman" w:eastAsia="Times New Roman" w:hAnsi="Times New Roman" w:cs="Times New Roman"/>
          <w:sz w:val="24"/>
        </w:rPr>
        <w:t xml:space="preserve"> pradinio ugdymo skyriuose.</w:t>
      </w:r>
    </w:p>
    <w:p w:rsidR="00DA6DCF" w:rsidRDefault="00DA6DCF" w:rsidP="00DA6DCF">
      <w:pPr>
        <w:spacing w:after="72" w:line="240" w:lineRule="auto"/>
        <w:ind w:firstLine="851"/>
        <w:jc w:val="both"/>
        <w:rPr>
          <w:rFonts w:ascii="Times New Roman" w:eastAsia="Times New Roman" w:hAnsi="Times New Roman" w:cs="Times New Roman"/>
          <w:sz w:val="24"/>
        </w:rPr>
      </w:pPr>
    </w:p>
    <w:p w:rsidR="00DA6DCF" w:rsidRDefault="00DA6DCF" w:rsidP="00DA6DCF">
      <w:pPr>
        <w:spacing w:after="72"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3. APMOKĖJIMAS</w:t>
      </w:r>
    </w:p>
    <w:p w:rsidR="00DA6DCF" w:rsidRDefault="00DA6DCF" w:rsidP="00DA6DCF">
      <w:pPr>
        <w:spacing w:after="72" w:line="240" w:lineRule="auto"/>
        <w:ind w:firstLine="851"/>
        <w:jc w:val="center"/>
        <w:rPr>
          <w:rFonts w:ascii="Times New Roman" w:eastAsia="Times New Roman" w:hAnsi="Times New Roman" w:cs="Times New Roman"/>
          <w:b/>
          <w:sz w:val="24"/>
        </w:rPr>
      </w:pP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3.1. Jei vaduojama ilgiau nei 2 mėnesius, tai vaduojančiam mokytojui pavaduotos pamokos tarifikuojamos. </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3.2. Už pravestas pavaduotas pamokas apmokama pagal darbo laiko apskaitos žiniaraštyje parodytas pavaduotas pamokas, apmokama kaip už vienkartines pravestas pamokas (100%), vadovaujantis švietimo įstaigų darbuotojų ir kitų pedagoginių darbuotojų darbo apmokėjimo tvarkos aprašu. </w:t>
      </w:r>
    </w:p>
    <w:p w:rsidR="00DA6DCF" w:rsidRDefault="00DA6DCF" w:rsidP="00DA6DCF">
      <w:pPr>
        <w:spacing w:after="72"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3.3. Nesant laisvų mokytojų pavadavimui, grupės (pvz. užsienio k., dorinis ugdymas, kūno kultūra) arba klasės jungiamos ir tada vaduojančiam mokytojui mokama 50% už pavadavimą.</w:t>
      </w:r>
    </w:p>
    <w:p w:rsidR="00DA6DCF" w:rsidRDefault="00DA6DCF" w:rsidP="00DA6DCF">
      <w:pPr>
        <w:spacing w:after="72" w:line="240" w:lineRule="auto"/>
        <w:ind w:firstLine="851"/>
        <w:jc w:val="both"/>
        <w:rPr>
          <w:rFonts w:ascii="Times New Roman" w:eastAsia="Times New Roman" w:hAnsi="Times New Roman" w:cs="Times New Roman"/>
          <w:sz w:val="24"/>
        </w:rPr>
      </w:pPr>
    </w:p>
    <w:p w:rsidR="00DA6DCF" w:rsidRDefault="00DA6DCF" w:rsidP="00DA6DCF">
      <w:pPr>
        <w:spacing w:after="72" w:line="240" w:lineRule="auto"/>
        <w:ind w:firstLine="851"/>
        <w:jc w:val="both"/>
        <w:rPr>
          <w:rFonts w:ascii="Times New Roman" w:eastAsia="Times New Roman" w:hAnsi="Times New Roman" w:cs="Times New Roman"/>
          <w:sz w:val="24"/>
        </w:rPr>
      </w:pPr>
    </w:p>
    <w:p w:rsidR="00DA6DCF" w:rsidRDefault="00DA6DCF" w:rsidP="00DA6DCF">
      <w:pPr>
        <w:spacing w:after="72" w:line="240" w:lineRule="auto"/>
        <w:ind w:firstLine="851"/>
        <w:jc w:val="both"/>
        <w:rPr>
          <w:rFonts w:ascii="Times New Roman" w:eastAsia="Times New Roman" w:hAnsi="Times New Roman" w:cs="Times New Roman"/>
          <w:sz w:val="24"/>
        </w:rPr>
      </w:pPr>
    </w:p>
    <w:p w:rsidR="00DA6DCF" w:rsidRDefault="00DA6DCF" w:rsidP="00DA6DCF">
      <w:pPr>
        <w:spacing w:after="72" w:line="240" w:lineRule="auto"/>
        <w:ind w:firstLine="851"/>
        <w:jc w:val="both"/>
        <w:rPr>
          <w:rFonts w:ascii="Times New Roman" w:eastAsia="Times New Roman" w:hAnsi="Times New Roman" w:cs="Times New Roman"/>
          <w:sz w:val="24"/>
        </w:rPr>
      </w:pPr>
    </w:p>
    <w:p w:rsidR="00DA6DCF" w:rsidRDefault="00DA6DCF" w:rsidP="00DA6DCF">
      <w:pPr>
        <w:spacing w:after="72"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A6DCF" w:rsidRDefault="00DA6DCF" w:rsidP="00DA6DCF">
      <w:pPr>
        <w:spacing w:after="72" w:line="240" w:lineRule="auto"/>
        <w:ind w:firstLine="851"/>
        <w:jc w:val="center"/>
        <w:rPr>
          <w:rFonts w:ascii="Times New Roman" w:eastAsia="Times New Roman" w:hAnsi="Times New Roman" w:cs="Times New Roman"/>
          <w:sz w:val="24"/>
        </w:rPr>
      </w:pPr>
    </w:p>
    <w:p w:rsidR="00DA6DCF" w:rsidRDefault="00DA6DCF" w:rsidP="00DA6DCF">
      <w:pPr>
        <w:spacing w:after="72" w:line="240" w:lineRule="auto"/>
        <w:rPr>
          <w:rFonts w:ascii="Times-Roman" w:eastAsia="Times-Roman" w:hAnsi="Times-Roman" w:cs="Times-Roman"/>
          <w:sz w:val="24"/>
        </w:rPr>
      </w:pPr>
      <w:r>
        <w:rPr>
          <w:rFonts w:ascii="Times-Roman" w:eastAsia="Times-Roman" w:hAnsi="Times-Roman" w:cs="Times-Roman"/>
          <w:sz w:val="24"/>
        </w:rPr>
        <w:t>PRITARTA</w:t>
      </w:r>
    </w:p>
    <w:p w:rsidR="00DA6DCF" w:rsidRDefault="00DA6DCF" w:rsidP="00DA6DCF">
      <w:pPr>
        <w:spacing w:after="72" w:line="240" w:lineRule="auto"/>
        <w:ind w:left="3888" w:firstLine="1296"/>
        <w:rPr>
          <w:rFonts w:ascii="Times-Roman" w:eastAsia="Times-Roman" w:hAnsi="Times-Roman" w:cs="Times-Roman"/>
          <w:sz w:val="24"/>
        </w:rPr>
      </w:pPr>
      <w:r>
        <w:rPr>
          <w:rFonts w:ascii="Times-Roman" w:eastAsia="Times-Roman" w:hAnsi="Times-Roman" w:cs="Times-Roman"/>
          <w:sz w:val="24"/>
        </w:rPr>
        <w:t xml:space="preserve">                  </w:t>
      </w:r>
    </w:p>
    <w:p w:rsidR="00DA6DCF" w:rsidRDefault="00DA6DCF" w:rsidP="00DA6DCF">
      <w:pPr>
        <w:spacing w:after="72" w:line="240" w:lineRule="auto"/>
        <w:rPr>
          <w:rFonts w:ascii="Times-Roman" w:eastAsia="Times-Roman" w:hAnsi="Times-Roman" w:cs="Times-Roman"/>
          <w:sz w:val="24"/>
        </w:rPr>
      </w:pPr>
      <w:r>
        <w:rPr>
          <w:rFonts w:ascii="Times-Roman" w:eastAsia="Times-Roman" w:hAnsi="Times-Roman" w:cs="Times-Roman"/>
          <w:sz w:val="24"/>
        </w:rPr>
        <w:t>Gargžd</w:t>
      </w:r>
      <w:r>
        <w:rPr>
          <w:rFonts w:ascii="TTE1B4BAB0t00" w:eastAsia="TTE1B4BAB0t00" w:hAnsi="TTE1B4BAB0t00" w:cs="TTE1B4BAB0t00"/>
          <w:sz w:val="24"/>
        </w:rPr>
        <w:t xml:space="preserve">u </w:t>
      </w:r>
      <w:r>
        <w:rPr>
          <w:rFonts w:ascii="Times-Roman" w:eastAsia="Times-Roman" w:hAnsi="Times-Roman" w:cs="Times-Roman"/>
          <w:sz w:val="24"/>
        </w:rPr>
        <w:t>„Minijos“ progimnazijos</w:t>
      </w:r>
    </w:p>
    <w:p w:rsidR="00DA6DCF" w:rsidRDefault="00DA6DCF" w:rsidP="00DA6DCF">
      <w:pPr>
        <w:spacing w:after="72" w:line="240" w:lineRule="auto"/>
        <w:ind w:left="2592" w:hanging="2592"/>
        <w:rPr>
          <w:rFonts w:ascii="Times-Roman" w:eastAsia="Times-Roman" w:hAnsi="Times-Roman" w:cs="Times-Roman"/>
          <w:sz w:val="24"/>
        </w:rPr>
      </w:pPr>
      <w:r>
        <w:rPr>
          <w:rFonts w:ascii="Times-Roman" w:eastAsia="Times-Roman" w:hAnsi="Times-Roman" w:cs="Times-Roman"/>
          <w:sz w:val="24"/>
        </w:rPr>
        <w:t xml:space="preserve">Mokytojų Tarybos  2016 m. vasario 11 d. </w:t>
      </w:r>
    </w:p>
    <w:p w:rsidR="00DA6DCF" w:rsidRDefault="00DA6DCF" w:rsidP="00DA6DCF">
      <w:pPr>
        <w:spacing w:after="72" w:line="240" w:lineRule="auto"/>
        <w:ind w:left="2592" w:hanging="2592"/>
        <w:rPr>
          <w:rFonts w:ascii="Times-Roman" w:eastAsia="Times-Roman" w:hAnsi="Times-Roman" w:cs="Times-Roman"/>
          <w:sz w:val="24"/>
        </w:rPr>
      </w:pPr>
      <w:r>
        <w:rPr>
          <w:rFonts w:ascii="TTE1B4BAB0t00" w:eastAsia="TTE1B4BAB0t00" w:hAnsi="TTE1B4BAB0t00" w:cs="TTE1B4BAB0t00"/>
          <w:sz w:val="24"/>
        </w:rPr>
        <w:t xml:space="preserve">Protokolo </w:t>
      </w:r>
      <w:r>
        <w:rPr>
          <w:rFonts w:ascii="Times-Roman" w:eastAsia="Times-Roman" w:hAnsi="Times-Roman" w:cs="Times-Roman"/>
          <w:sz w:val="24"/>
        </w:rPr>
        <w:t>Nr. 4-1</w:t>
      </w:r>
    </w:p>
    <w:p w:rsidR="00DA6DCF" w:rsidRDefault="00DA6DCF" w:rsidP="00DA6DCF">
      <w:pPr>
        <w:spacing w:after="72" w:line="240" w:lineRule="auto"/>
        <w:ind w:firstLine="851"/>
        <w:jc w:val="center"/>
        <w:rPr>
          <w:rFonts w:ascii="Times New Roman" w:eastAsia="Times New Roman" w:hAnsi="Times New Roman" w:cs="Times New Roman"/>
          <w:sz w:val="24"/>
        </w:rPr>
      </w:pPr>
    </w:p>
    <w:p w:rsidR="00DA6DCF" w:rsidRPr="0043635C" w:rsidRDefault="00DA6DCF" w:rsidP="00DA6DCF">
      <w:pPr>
        <w:spacing w:after="72" w:line="240" w:lineRule="auto"/>
        <w:rPr>
          <w:rFonts w:ascii="Times New Roman" w:eastAsia="Times New Roman" w:hAnsi="Times New Roman" w:cs="Times New Roman"/>
          <w:sz w:val="24"/>
          <w:szCs w:val="24"/>
        </w:rPr>
      </w:pPr>
    </w:p>
    <w:p w:rsidR="00DA6DCF" w:rsidRPr="0043635C" w:rsidRDefault="00DA6DCF" w:rsidP="00DA6DCF">
      <w:pPr>
        <w:spacing w:after="72" w:line="240" w:lineRule="auto"/>
        <w:outlineLvl w:val="0"/>
        <w:rPr>
          <w:rFonts w:ascii="Times New Roman" w:hAnsi="Times New Roman" w:cs="Times New Roman"/>
          <w:sz w:val="24"/>
          <w:szCs w:val="24"/>
        </w:rPr>
      </w:pPr>
      <w:r w:rsidRPr="0043635C">
        <w:rPr>
          <w:rFonts w:ascii="Times New Roman" w:hAnsi="Times New Roman" w:cs="Times New Roman"/>
          <w:sz w:val="24"/>
          <w:szCs w:val="24"/>
        </w:rPr>
        <w:t>SUDERINTA:</w:t>
      </w:r>
    </w:p>
    <w:p w:rsidR="00DA6DCF" w:rsidRPr="0043635C" w:rsidRDefault="00DA6DCF" w:rsidP="00DA6DCF">
      <w:pPr>
        <w:spacing w:after="72" w:line="240" w:lineRule="auto"/>
        <w:outlineLvl w:val="0"/>
        <w:rPr>
          <w:rFonts w:ascii="Times New Roman" w:hAnsi="Times New Roman" w:cs="Times New Roman"/>
          <w:sz w:val="24"/>
          <w:szCs w:val="24"/>
        </w:rPr>
      </w:pPr>
    </w:p>
    <w:p w:rsidR="00DA6DCF" w:rsidRPr="0043635C" w:rsidRDefault="00DA6DCF" w:rsidP="00DA6DCF">
      <w:pPr>
        <w:spacing w:after="72" w:line="240" w:lineRule="auto"/>
        <w:outlineLvl w:val="0"/>
        <w:rPr>
          <w:rFonts w:ascii="Times New Roman" w:hAnsi="Times New Roman" w:cs="Times New Roman"/>
          <w:sz w:val="24"/>
          <w:szCs w:val="24"/>
        </w:rPr>
      </w:pPr>
      <w:r w:rsidRPr="0043635C">
        <w:rPr>
          <w:rFonts w:ascii="Times New Roman" w:hAnsi="Times New Roman" w:cs="Times New Roman"/>
          <w:sz w:val="24"/>
          <w:szCs w:val="24"/>
        </w:rPr>
        <w:t>Gargždų „Minijos“ progimnazijos</w:t>
      </w:r>
    </w:p>
    <w:p w:rsidR="00DA6DCF" w:rsidRPr="0043635C" w:rsidRDefault="00DA6DCF" w:rsidP="00DA6DCF">
      <w:pPr>
        <w:spacing w:after="72" w:line="240" w:lineRule="auto"/>
        <w:outlineLvl w:val="0"/>
        <w:rPr>
          <w:rFonts w:ascii="Times New Roman" w:hAnsi="Times New Roman" w:cs="Times New Roman"/>
          <w:sz w:val="24"/>
          <w:szCs w:val="24"/>
        </w:rPr>
      </w:pPr>
      <w:r w:rsidRPr="0043635C">
        <w:rPr>
          <w:rFonts w:ascii="Times New Roman" w:hAnsi="Times New Roman" w:cs="Times New Roman"/>
          <w:sz w:val="24"/>
          <w:szCs w:val="24"/>
        </w:rPr>
        <w:t xml:space="preserve">Tarybos posėdžio, </w:t>
      </w:r>
    </w:p>
    <w:p w:rsidR="00DA6DCF" w:rsidRPr="0043635C" w:rsidRDefault="00DA6DCF" w:rsidP="00DA6DCF">
      <w:pPr>
        <w:spacing w:after="72" w:line="240" w:lineRule="auto"/>
        <w:rPr>
          <w:rFonts w:ascii="Times New Roman" w:hAnsi="Times New Roman" w:cs="Times New Roman"/>
          <w:sz w:val="24"/>
          <w:szCs w:val="24"/>
        </w:rPr>
      </w:pPr>
      <w:r>
        <w:rPr>
          <w:rFonts w:ascii="Times New Roman" w:hAnsi="Times New Roman" w:cs="Times New Roman"/>
          <w:sz w:val="24"/>
          <w:szCs w:val="24"/>
        </w:rPr>
        <w:t>įvykusio 2016</w:t>
      </w:r>
      <w:r w:rsidRPr="0043635C">
        <w:rPr>
          <w:rFonts w:ascii="Times New Roman" w:hAnsi="Times New Roman" w:cs="Times New Roman"/>
          <w:sz w:val="24"/>
          <w:szCs w:val="24"/>
        </w:rPr>
        <w:t xml:space="preserve">  m. </w:t>
      </w:r>
      <w:r>
        <w:rPr>
          <w:rFonts w:ascii="Times New Roman" w:hAnsi="Times New Roman" w:cs="Times New Roman"/>
          <w:sz w:val="24"/>
          <w:szCs w:val="24"/>
        </w:rPr>
        <w:t>kovo 1</w:t>
      </w:r>
      <w:r w:rsidRPr="0043635C">
        <w:rPr>
          <w:rFonts w:ascii="Times New Roman" w:hAnsi="Times New Roman" w:cs="Times New Roman"/>
          <w:sz w:val="24"/>
          <w:szCs w:val="24"/>
        </w:rPr>
        <w:t xml:space="preserve"> d.</w:t>
      </w:r>
    </w:p>
    <w:p w:rsidR="00DA6DCF" w:rsidRPr="0043635C" w:rsidRDefault="00DA6DCF" w:rsidP="00DA6DCF">
      <w:pPr>
        <w:spacing w:after="72" w:line="240" w:lineRule="auto"/>
        <w:rPr>
          <w:rFonts w:ascii="Times New Roman" w:hAnsi="Times New Roman" w:cs="Times New Roman"/>
          <w:sz w:val="24"/>
          <w:szCs w:val="24"/>
        </w:rPr>
      </w:pPr>
      <w:r>
        <w:rPr>
          <w:rFonts w:ascii="Times New Roman" w:hAnsi="Times New Roman" w:cs="Times New Roman"/>
          <w:sz w:val="24"/>
          <w:szCs w:val="24"/>
        </w:rPr>
        <w:t>Protokolo Nr. 3</w:t>
      </w:r>
      <w:r w:rsidRPr="0043635C">
        <w:rPr>
          <w:rFonts w:ascii="Times New Roman" w:hAnsi="Times New Roman" w:cs="Times New Roman"/>
          <w:sz w:val="24"/>
          <w:szCs w:val="24"/>
        </w:rPr>
        <w:t>-</w:t>
      </w:r>
      <w:r>
        <w:rPr>
          <w:rFonts w:ascii="Times New Roman" w:hAnsi="Times New Roman" w:cs="Times New Roman"/>
          <w:sz w:val="24"/>
          <w:szCs w:val="24"/>
        </w:rPr>
        <w:t>1</w:t>
      </w:r>
    </w:p>
    <w:p w:rsidR="00AE459B" w:rsidRDefault="00AE459B">
      <w:pPr>
        <w:spacing w:after="72"/>
      </w:pPr>
    </w:p>
    <w:sectPr w:rsidR="00AE459B" w:rsidSect="003927C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4BAB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0" w:usb1="00000000" w:usb2="00000000" w:usb3="00000000" w:csb0="00000000" w:csb1="00000000"/>
  </w:font>
  <w:font w:name="TTE1B4B640t00">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A6DCF"/>
    <w:rsid w:val="003927C5"/>
    <w:rsid w:val="003A35C7"/>
    <w:rsid w:val="00AE459B"/>
    <w:rsid w:val="00DA6DC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Lines="3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DCF"/>
    <w:pPr>
      <w:spacing w:afterLines="0"/>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2319</Words>
  <Characters>1322</Characters>
  <Application>Microsoft Office Word</Application>
  <DocSecurity>0</DocSecurity>
  <Lines>11</Lines>
  <Paragraphs>7</Paragraphs>
  <ScaleCrop>false</ScaleCrop>
  <Company>Hewlett-Packard</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Bliudžiuvienė</dc:creator>
  <cp:lastModifiedBy>Rasa J.</cp:lastModifiedBy>
  <cp:revision>2</cp:revision>
  <dcterms:created xsi:type="dcterms:W3CDTF">2018-03-01T12:13:00Z</dcterms:created>
  <dcterms:modified xsi:type="dcterms:W3CDTF">2018-03-01T12:13:00Z</dcterms:modified>
</cp:coreProperties>
</file>